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DF5" w:rsidRDefault="002F7DF5" w:rsidP="002F7DF5">
      <w:pPr>
        <w:pStyle w:val="1"/>
        <w:rPr>
          <w:rFonts w:cs="Tahoma"/>
          <w:spacing w:val="-2"/>
          <w:lang w:val="en-US"/>
        </w:rPr>
      </w:pPr>
      <w:r>
        <w:rPr>
          <w:rFonts w:cs="Tahoma"/>
          <w:spacing w:val="-2"/>
          <w:lang w:val="en-US"/>
        </w:rPr>
        <w:t xml:space="preserve">Competence of the Auditing Committee </w:t>
      </w:r>
    </w:p>
    <w:p w:rsidR="002F7DF5" w:rsidRPr="0035572A" w:rsidRDefault="002F7DF5" w:rsidP="002F7DF5">
      <w:pPr>
        <w:pStyle w:val="1"/>
        <w:rPr>
          <w:rFonts w:cs="Tahoma"/>
          <w:spacing w:val="-2"/>
          <w:lang w:val="en-US"/>
        </w:rPr>
      </w:pPr>
      <w:r>
        <w:rPr>
          <w:rFonts w:cs="Tahoma"/>
          <w:spacing w:val="-2"/>
          <w:lang w:val="en-US"/>
        </w:rPr>
        <w:t>of Rosseti North-West, PJSC</w:t>
      </w:r>
    </w:p>
    <w:p w:rsidR="002F7DF5" w:rsidRPr="0035572A" w:rsidRDefault="002F7DF5" w:rsidP="002F7DF5">
      <w:pPr>
        <w:pStyle w:val="1"/>
        <w:rPr>
          <w:rFonts w:cs="Tahoma"/>
          <w:b w:val="0"/>
          <w:spacing w:val="-2"/>
          <w:lang w:val="en-US"/>
        </w:rPr>
      </w:pPr>
    </w:p>
    <w:p w:rsidR="002F7DF5" w:rsidRPr="00011D1E" w:rsidRDefault="002F7DF5" w:rsidP="00011D1E">
      <w:pPr>
        <w:pStyle w:val="1"/>
        <w:rPr>
          <w:rFonts w:cs="Tahoma"/>
          <w:b w:val="0"/>
          <w:spacing w:val="-2"/>
          <w:lang w:val="en-US"/>
        </w:rPr>
      </w:pPr>
      <w:r>
        <w:rPr>
          <w:rFonts w:cs="Tahoma"/>
          <w:b w:val="0"/>
          <w:spacing w:val="-2"/>
          <w:lang w:val="en-US"/>
        </w:rPr>
        <w:t>pursuant to Clause 24.</w:t>
      </w:r>
      <w:r w:rsidR="00E75F0F">
        <w:rPr>
          <w:rFonts w:cs="Tahoma"/>
          <w:b w:val="0"/>
          <w:spacing w:val="-2"/>
          <w:lang w:val="en-US"/>
        </w:rPr>
        <w:t>4</w:t>
      </w:r>
      <w:r>
        <w:rPr>
          <w:rFonts w:cs="Tahoma"/>
          <w:b w:val="0"/>
          <w:spacing w:val="-2"/>
          <w:lang w:val="en-US"/>
        </w:rPr>
        <w:t xml:space="preserve"> Article 24</w:t>
      </w:r>
      <w:r w:rsidRPr="0035572A">
        <w:rPr>
          <w:rFonts w:cs="Tahoma"/>
          <w:b w:val="0"/>
          <w:spacing w:val="-2"/>
          <w:lang w:val="en-US"/>
        </w:rPr>
        <w:t xml:space="preserve"> </w:t>
      </w:r>
      <w:r>
        <w:rPr>
          <w:rFonts w:cs="Tahoma"/>
          <w:b w:val="0"/>
          <w:spacing w:val="-2"/>
          <w:lang w:val="en-US"/>
        </w:rPr>
        <w:t xml:space="preserve">of the Articles of Association of the Company </w:t>
      </w:r>
      <w:r w:rsidRPr="0035572A">
        <w:rPr>
          <w:rFonts w:cs="Tahoma"/>
          <w:b w:val="0"/>
          <w:szCs w:val="22"/>
          <w:lang w:val="en-US"/>
        </w:rPr>
        <w:t>(</w:t>
      </w:r>
      <w:r w:rsidR="008B2CED">
        <w:rPr>
          <w:rFonts w:cs="Tahoma"/>
          <w:b w:val="0"/>
          <w:szCs w:val="22"/>
          <w:lang w:val="en-US"/>
        </w:rPr>
        <w:t>as approved</w:t>
      </w:r>
      <w:r w:rsidR="008B2CED">
        <w:rPr>
          <w:rFonts w:cs="Tahoma"/>
          <w:b w:val="0"/>
          <w:szCs w:val="22"/>
          <w:lang w:val="en-US"/>
        </w:rPr>
        <w:br/>
      </w:r>
      <w:r>
        <w:rPr>
          <w:rFonts w:cs="Tahoma"/>
          <w:b w:val="0"/>
          <w:szCs w:val="22"/>
          <w:lang w:val="en-US"/>
        </w:rPr>
        <w:t xml:space="preserve">by the Annual General Shareholders Meeting </w:t>
      </w:r>
      <w:r w:rsidRPr="0035572A">
        <w:rPr>
          <w:rFonts w:cs="Tahoma"/>
          <w:b w:val="0"/>
          <w:spacing w:val="-2"/>
          <w:lang w:val="en-US"/>
        </w:rPr>
        <w:t>of</w:t>
      </w:r>
      <w:r>
        <w:rPr>
          <w:rFonts w:cs="Tahoma"/>
          <w:b w:val="0"/>
          <w:spacing w:val="-2"/>
          <w:lang w:val="en-US"/>
        </w:rPr>
        <w:t xml:space="preserve"> </w:t>
      </w:r>
      <w:r w:rsidR="00011D1E" w:rsidRPr="00011D1E">
        <w:rPr>
          <w:rFonts w:cs="Tahoma"/>
          <w:b w:val="0"/>
          <w:spacing w:val="-2"/>
          <w:lang w:val="en-US"/>
        </w:rPr>
        <w:t>the Company</w:t>
      </w:r>
    </w:p>
    <w:p w:rsidR="002F7DF5" w:rsidRDefault="002F7DF5" w:rsidP="002F7DF5">
      <w:pPr>
        <w:pStyle w:val="1"/>
        <w:rPr>
          <w:rFonts w:cs="Tahoma"/>
          <w:b w:val="0"/>
          <w:szCs w:val="22"/>
          <w:lang w:val="en-US"/>
        </w:rPr>
      </w:pPr>
      <w:bookmarkStart w:id="0" w:name="_GoBack"/>
      <w:bookmarkEnd w:id="0"/>
      <w:r>
        <w:rPr>
          <w:rFonts w:cs="Tahoma"/>
          <w:b w:val="0"/>
          <w:szCs w:val="22"/>
          <w:lang w:val="en-US"/>
        </w:rPr>
        <w:t>dated 28</w:t>
      </w:r>
      <w:r w:rsidRPr="0035572A">
        <w:rPr>
          <w:rFonts w:cs="Tahoma"/>
          <w:b w:val="0"/>
          <w:szCs w:val="22"/>
          <w:lang w:val="en-US"/>
        </w:rPr>
        <w:t>.0</w:t>
      </w:r>
      <w:r>
        <w:rPr>
          <w:rFonts w:cs="Tahoma"/>
          <w:b w:val="0"/>
          <w:szCs w:val="22"/>
          <w:lang w:val="en-US"/>
        </w:rPr>
        <w:t>5.2021</w:t>
      </w:r>
      <w:r w:rsidRPr="0035572A">
        <w:rPr>
          <w:rFonts w:cs="Tahoma"/>
          <w:b w:val="0"/>
          <w:szCs w:val="22"/>
          <w:lang w:val="en-US"/>
        </w:rPr>
        <w:t xml:space="preserve"> (</w:t>
      </w:r>
      <w:r>
        <w:rPr>
          <w:rFonts w:cs="Tahoma"/>
          <w:b w:val="0"/>
          <w:szCs w:val="22"/>
          <w:lang w:val="en-US"/>
        </w:rPr>
        <w:t>Minutes No.17</w:t>
      </w:r>
      <w:r w:rsidRPr="0035572A">
        <w:rPr>
          <w:rFonts w:cs="Tahoma"/>
          <w:b w:val="0"/>
          <w:szCs w:val="22"/>
          <w:lang w:val="en-US"/>
        </w:rPr>
        <w:t>)</w:t>
      </w:r>
      <w:r>
        <w:rPr>
          <w:rFonts w:cs="Tahoma"/>
          <w:b w:val="0"/>
          <w:szCs w:val="22"/>
          <w:lang w:val="en-US"/>
        </w:rPr>
        <w:t>)</w:t>
      </w:r>
    </w:p>
    <w:p w:rsidR="00E75F0F" w:rsidRPr="00E75F0F" w:rsidRDefault="00E75F0F" w:rsidP="00E75F0F">
      <w:pPr>
        <w:rPr>
          <w:sz w:val="12"/>
          <w:szCs w:val="12"/>
          <w:lang w:val="en-US" w:eastAsia="ru-RU"/>
        </w:rPr>
      </w:pPr>
    </w:p>
    <w:p w:rsidR="008B2CED" w:rsidRPr="008B2CED" w:rsidRDefault="008B2CED" w:rsidP="008B2CED">
      <w:pPr>
        <w:pStyle w:val="a3"/>
        <w:widowControl w:val="0"/>
        <w:numPr>
          <w:ilvl w:val="1"/>
          <w:numId w:val="3"/>
        </w:numPr>
        <w:tabs>
          <w:tab w:val="left" w:pos="1134"/>
        </w:tabs>
        <w:spacing w:after="0" w:line="247" w:lineRule="auto"/>
        <w:jc w:val="both"/>
        <w:rPr>
          <w:rFonts w:ascii="Tahoma" w:eastAsia="Times New Roman" w:hAnsi="Tahoma" w:cs="Tahoma"/>
          <w:snapToGrid w:val="0"/>
          <w:szCs w:val="24"/>
          <w:lang w:val="en-US" w:eastAsia="ru-RU"/>
        </w:rPr>
      </w:pPr>
      <w:r w:rsidRPr="008B2CED">
        <w:rPr>
          <w:rFonts w:ascii="Tahoma" w:eastAsia="Times New Roman" w:hAnsi="Tahoma" w:cs="Tahoma"/>
          <w:snapToGrid w:val="0"/>
          <w:szCs w:val="24"/>
          <w:lang w:val="en-US" w:eastAsia="ru-RU" w:bidi="en-US"/>
        </w:rPr>
        <w:t>The competence of the Company’s Auditing Commission shall include the following:</w:t>
      </w:r>
    </w:p>
    <w:p w:rsidR="008B2CED" w:rsidRPr="008B2CED" w:rsidRDefault="008B2CED" w:rsidP="008B2CED">
      <w:pPr>
        <w:widowControl w:val="0"/>
        <w:numPr>
          <w:ilvl w:val="0"/>
          <w:numId w:val="1"/>
        </w:numPr>
        <w:tabs>
          <w:tab w:val="left" w:pos="851"/>
        </w:tabs>
        <w:spacing w:after="0" w:line="247" w:lineRule="auto"/>
        <w:ind w:firstLine="567"/>
        <w:jc w:val="both"/>
        <w:rPr>
          <w:rFonts w:ascii="Tahoma" w:eastAsia="Times New Roman" w:hAnsi="Tahoma" w:cs="Tahoma"/>
          <w:snapToGrid w:val="0"/>
          <w:szCs w:val="24"/>
          <w:lang w:val="en-US" w:eastAsia="ru-RU"/>
        </w:rPr>
      </w:pPr>
      <w:r w:rsidRPr="008B2CED">
        <w:rPr>
          <w:rFonts w:ascii="Tahoma" w:eastAsia="Times New Roman" w:hAnsi="Tahoma" w:cs="Tahoma"/>
          <w:snapToGrid w:val="0"/>
          <w:szCs w:val="24"/>
          <w:lang w:val="en-US" w:eastAsia="ru-RU" w:bidi="en-US"/>
        </w:rPr>
        <w:t>examination (audit) of the financial, accounting, set</w:t>
      </w:r>
      <w:r>
        <w:rPr>
          <w:rFonts w:ascii="Tahoma" w:eastAsia="Times New Roman" w:hAnsi="Tahoma" w:cs="Tahoma"/>
          <w:snapToGrid w:val="0"/>
          <w:szCs w:val="24"/>
          <w:lang w:val="en-US" w:eastAsia="ru-RU" w:bidi="en-US"/>
        </w:rPr>
        <w:t>tlement and other documentation</w:t>
      </w:r>
      <w:r>
        <w:rPr>
          <w:rFonts w:ascii="Tahoma" w:eastAsia="Times New Roman" w:hAnsi="Tahoma" w:cs="Tahoma"/>
          <w:snapToGrid w:val="0"/>
          <w:szCs w:val="24"/>
          <w:lang w:val="en-US" w:eastAsia="ru-RU" w:bidi="en-US"/>
        </w:rPr>
        <w:br/>
      </w:r>
      <w:r w:rsidRPr="008B2CED">
        <w:rPr>
          <w:rFonts w:ascii="Tahoma" w:eastAsia="Times New Roman" w:hAnsi="Tahoma" w:cs="Tahoma"/>
          <w:snapToGrid w:val="0"/>
          <w:szCs w:val="24"/>
          <w:lang w:val="en-US" w:eastAsia="ru-RU" w:bidi="en-US"/>
        </w:rPr>
        <w:t>of the Company related with carrying out by the Company of financial and economic activities in order to ensure its compliance with the Russian Federation laws, this Articles of Association, and internal documents of the Company;</w:t>
      </w:r>
    </w:p>
    <w:p w:rsidR="008B2CED" w:rsidRPr="008B2CED" w:rsidRDefault="008B2CED" w:rsidP="008B2CED">
      <w:pPr>
        <w:widowControl w:val="0"/>
        <w:numPr>
          <w:ilvl w:val="0"/>
          <w:numId w:val="1"/>
        </w:numPr>
        <w:tabs>
          <w:tab w:val="left" w:pos="851"/>
        </w:tabs>
        <w:spacing w:after="0" w:line="247" w:lineRule="auto"/>
        <w:ind w:firstLine="567"/>
        <w:jc w:val="both"/>
        <w:rPr>
          <w:rFonts w:ascii="Tahoma" w:eastAsia="Times New Roman" w:hAnsi="Tahoma" w:cs="Tahoma"/>
          <w:snapToGrid w:val="0"/>
          <w:szCs w:val="24"/>
          <w:lang w:val="en-US" w:eastAsia="ru-RU"/>
        </w:rPr>
      </w:pPr>
      <w:r w:rsidRPr="008B2CED">
        <w:rPr>
          <w:rFonts w:ascii="Tahoma" w:eastAsia="Times New Roman" w:hAnsi="Tahoma" w:cs="Tahoma"/>
          <w:snapToGrid w:val="0"/>
          <w:szCs w:val="24"/>
          <w:lang w:val="en-US" w:eastAsia="ru-RU" w:bidi="en-US"/>
        </w:rPr>
        <w:t>checking and analysis of the Company's financial position, its capacity to pay, the internal control and risk management system functioning, liquidity of assets, debt to equity ratio, correctness and timeliness of accrual and payment of intere</w:t>
      </w:r>
      <w:r>
        <w:rPr>
          <w:rFonts w:ascii="Tahoma" w:eastAsia="Times New Roman" w:hAnsi="Tahoma" w:cs="Tahoma"/>
          <w:snapToGrid w:val="0"/>
          <w:szCs w:val="24"/>
          <w:lang w:val="en-US" w:eastAsia="ru-RU" w:bidi="en-US"/>
        </w:rPr>
        <w:t>st on bonds, income arising out</w:t>
      </w:r>
      <w:r>
        <w:rPr>
          <w:rFonts w:ascii="Tahoma" w:eastAsia="Times New Roman" w:hAnsi="Tahoma" w:cs="Tahoma"/>
          <w:snapToGrid w:val="0"/>
          <w:szCs w:val="24"/>
          <w:lang w:val="en-US" w:eastAsia="ru-RU" w:bidi="en-US"/>
        </w:rPr>
        <w:br/>
      </w:r>
      <w:r w:rsidRPr="008B2CED">
        <w:rPr>
          <w:rFonts w:ascii="Tahoma" w:eastAsia="Times New Roman" w:hAnsi="Tahoma" w:cs="Tahoma"/>
          <w:snapToGrid w:val="0"/>
          <w:szCs w:val="24"/>
          <w:lang w:val="en-US" w:eastAsia="ru-RU" w:bidi="en-US"/>
        </w:rPr>
        <w:t>of other securities;</w:t>
      </w:r>
    </w:p>
    <w:p w:rsidR="008B2CED" w:rsidRPr="008B2CED" w:rsidRDefault="008B2CED" w:rsidP="008B2CED">
      <w:pPr>
        <w:widowControl w:val="0"/>
        <w:numPr>
          <w:ilvl w:val="0"/>
          <w:numId w:val="1"/>
        </w:numPr>
        <w:tabs>
          <w:tab w:val="left" w:pos="851"/>
        </w:tabs>
        <w:spacing w:after="0" w:line="247" w:lineRule="auto"/>
        <w:ind w:firstLine="567"/>
        <w:jc w:val="both"/>
        <w:rPr>
          <w:rFonts w:ascii="Tahoma" w:eastAsia="Times New Roman" w:hAnsi="Tahoma" w:cs="Tahoma"/>
          <w:snapToGrid w:val="0"/>
          <w:szCs w:val="24"/>
          <w:lang w:val="en-US" w:eastAsia="ru-RU"/>
        </w:rPr>
      </w:pPr>
      <w:r w:rsidRPr="008B2CED">
        <w:rPr>
          <w:rFonts w:ascii="Tahoma" w:eastAsia="Times New Roman" w:hAnsi="Tahoma" w:cs="Tahoma"/>
          <w:snapToGrid w:val="0"/>
          <w:szCs w:val="24"/>
          <w:lang w:val="en-US" w:eastAsia="ru-RU" w:bidi="en-US"/>
        </w:rPr>
        <w:t xml:space="preserve">control over spending of the Company's funds in accordance with the approved business plan and budget of the Company; </w:t>
      </w:r>
    </w:p>
    <w:p w:rsidR="008B2CED" w:rsidRPr="008B2CED" w:rsidRDefault="008B2CED" w:rsidP="008B2CED">
      <w:pPr>
        <w:widowControl w:val="0"/>
        <w:numPr>
          <w:ilvl w:val="0"/>
          <w:numId w:val="1"/>
        </w:numPr>
        <w:tabs>
          <w:tab w:val="left" w:pos="851"/>
        </w:tabs>
        <w:spacing w:after="0" w:line="247" w:lineRule="auto"/>
        <w:ind w:firstLine="567"/>
        <w:jc w:val="both"/>
        <w:rPr>
          <w:rFonts w:ascii="Tahoma" w:eastAsia="Times New Roman" w:hAnsi="Tahoma" w:cs="Tahoma"/>
          <w:snapToGrid w:val="0"/>
          <w:szCs w:val="24"/>
          <w:lang w:val="en-US" w:eastAsia="ru-RU"/>
        </w:rPr>
      </w:pPr>
      <w:r w:rsidRPr="008B2CED">
        <w:rPr>
          <w:rFonts w:ascii="Tahoma" w:eastAsia="Times New Roman" w:hAnsi="Tahoma" w:cs="Tahoma"/>
          <w:snapToGrid w:val="0"/>
          <w:szCs w:val="24"/>
          <w:lang w:val="en-US" w:eastAsia="ru-RU" w:bidi="en-US"/>
        </w:rPr>
        <w:t>control over building up and use of the reserve</w:t>
      </w:r>
      <w:r w:rsidR="00A070EC">
        <w:rPr>
          <w:rFonts w:ascii="Tahoma" w:eastAsia="Times New Roman" w:hAnsi="Tahoma" w:cs="Tahoma"/>
          <w:snapToGrid w:val="0"/>
          <w:szCs w:val="24"/>
          <w:lang w:val="en-US" w:eastAsia="ru-RU" w:bidi="en-US"/>
        </w:rPr>
        <w:t xml:space="preserve"> and other specialized funds of</w:t>
      </w:r>
      <w:r w:rsidR="00A070EC">
        <w:rPr>
          <w:rFonts w:ascii="Tahoma" w:eastAsia="Times New Roman" w:hAnsi="Tahoma" w:cs="Tahoma"/>
          <w:snapToGrid w:val="0"/>
          <w:szCs w:val="24"/>
          <w:lang w:val="en-US" w:eastAsia="ru-RU" w:bidi="en-US"/>
        </w:rPr>
        <w:br/>
      </w:r>
      <w:r w:rsidRPr="008B2CED">
        <w:rPr>
          <w:rFonts w:ascii="Tahoma" w:eastAsia="Times New Roman" w:hAnsi="Tahoma" w:cs="Tahoma"/>
          <w:snapToGrid w:val="0"/>
          <w:szCs w:val="24"/>
          <w:lang w:val="en-US" w:eastAsia="ru-RU" w:bidi="en-US"/>
        </w:rPr>
        <w:t>the Company;</w:t>
      </w:r>
    </w:p>
    <w:p w:rsidR="008B2CED" w:rsidRPr="008B2CED" w:rsidRDefault="008B2CED" w:rsidP="008B2CED">
      <w:pPr>
        <w:widowControl w:val="0"/>
        <w:numPr>
          <w:ilvl w:val="0"/>
          <w:numId w:val="1"/>
        </w:numPr>
        <w:tabs>
          <w:tab w:val="left" w:pos="851"/>
        </w:tabs>
        <w:spacing w:after="0" w:line="247" w:lineRule="auto"/>
        <w:ind w:firstLine="567"/>
        <w:jc w:val="both"/>
        <w:rPr>
          <w:rFonts w:ascii="Tahoma" w:eastAsia="Times New Roman" w:hAnsi="Tahoma" w:cs="Tahoma"/>
          <w:snapToGrid w:val="0"/>
          <w:szCs w:val="24"/>
          <w:lang w:val="en-US" w:eastAsia="ru-RU"/>
        </w:rPr>
      </w:pPr>
      <w:r w:rsidRPr="008B2CED">
        <w:rPr>
          <w:rFonts w:ascii="Tahoma" w:eastAsia="Times New Roman" w:hAnsi="Tahoma" w:cs="Tahoma"/>
          <w:szCs w:val="24"/>
          <w:lang w:val="en-US" w:eastAsia="ru-RU" w:bidi="en-US"/>
        </w:rPr>
        <w:t>checking of timeliness and correctness of conducting settlement operations with the contractors and the budget, as well as the calculation operations for remuneration of labor, social insurance, accruing and payment of dividends and other settlement operations;</w:t>
      </w:r>
    </w:p>
    <w:p w:rsidR="008B2CED" w:rsidRPr="008B2CED" w:rsidRDefault="008B2CED" w:rsidP="008B2CED">
      <w:pPr>
        <w:widowControl w:val="0"/>
        <w:numPr>
          <w:ilvl w:val="0"/>
          <w:numId w:val="1"/>
        </w:numPr>
        <w:tabs>
          <w:tab w:val="left" w:pos="851"/>
        </w:tabs>
        <w:spacing w:after="0" w:line="247" w:lineRule="auto"/>
        <w:ind w:firstLine="567"/>
        <w:jc w:val="both"/>
        <w:rPr>
          <w:rFonts w:ascii="Tahoma" w:eastAsia="Times New Roman" w:hAnsi="Tahoma" w:cs="Tahoma"/>
          <w:snapToGrid w:val="0"/>
          <w:szCs w:val="24"/>
          <w:lang w:val="en-US" w:eastAsia="ru-RU"/>
        </w:rPr>
      </w:pPr>
      <w:r w:rsidRPr="008B2CED">
        <w:rPr>
          <w:rFonts w:ascii="Tahoma" w:eastAsia="Times New Roman" w:hAnsi="Tahoma" w:cs="Tahoma"/>
          <w:szCs w:val="24"/>
          <w:lang w:val="en-US" w:eastAsia="ru-RU" w:bidi="en-US"/>
        </w:rPr>
        <w:t>control over observance of the established procedure of writing off of the insolvent obligors' indebtedness for the Company's losses;</w:t>
      </w:r>
    </w:p>
    <w:p w:rsidR="008B2CED" w:rsidRPr="008B2CED" w:rsidRDefault="008B2CED" w:rsidP="008B2CED">
      <w:pPr>
        <w:widowControl w:val="0"/>
        <w:numPr>
          <w:ilvl w:val="0"/>
          <w:numId w:val="1"/>
        </w:numPr>
        <w:tabs>
          <w:tab w:val="left" w:pos="851"/>
        </w:tabs>
        <w:spacing w:after="0" w:line="247" w:lineRule="auto"/>
        <w:ind w:firstLine="567"/>
        <w:jc w:val="both"/>
        <w:rPr>
          <w:rFonts w:ascii="Tahoma" w:eastAsia="Times New Roman" w:hAnsi="Tahoma" w:cs="Tahoma"/>
          <w:snapToGrid w:val="0"/>
          <w:szCs w:val="24"/>
          <w:lang w:val="en-US" w:eastAsia="ru-RU"/>
        </w:rPr>
      </w:pPr>
      <w:r w:rsidRPr="008B2CED">
        <w:rPr>
          <w:rFonts w:ascii="Tahoma" w:eastAsia="Times New Roman" w:hAnsi="Tahoma" w:cs="Tahoma"/>
          <w:szCs w:val="24"/>
          <w:lang w:val="en-US" w:eastAsia="ru-RU" w:bidi="en-US"/>
        </w:rPr>
        <w:t>checking of the Company's business transactions made in compliance with the concluded contracts;</w:t>
      </w:r>
    </w:p>
    <w:p w:rsidR="008B2CED" w:rsidRPr="008B2CED" w:rsidRDefault="008B2CED" w:rsidP="008B2CED">
      <w:pPr>
        <w:widowControl w:val="0"/>
        <w:numPr>
          <w:ilvl w:val="0"/>
          <w:numId w:val="1"/>
        </w:numPr>
        <w:tabs>
          <w:tab w:val="left" w:pos="851"/>
        </w:tabs>
        <w:spacing w:after="0" w:line="247" w:lineRule="auto"/>
        <w:ind w:firstLine="567"/>
        <w:jc w:val="both"/>
        <w:rPr>
          <w:rFonts w:ascii="Tahoma" w:eastAsia="Times New Roman" w:hAnsi="Tahoma" w:cs="Tahoma"/>
          <w:snapToGrid w:val="0"/>
          <w:szCs w:val="24"/>
          <w:lang w:val="en-US" w:eastAsia="ru-RU"/>
        </w:rPr>
      </w:pPr>
      <w:r w:rsidRPr="008B2CED">
        <w:rPr>
          <w:rFonts w:ascii="Tahoma" w:eastAsia="Times New Roman" w:hAnsi="Tahoma" w:cs="Tahoma"/>
          <w:szCs w:val="24"/>
          <w:lang w:val="en-US" w:eastAsia="ru-RU" w:bidi="en-US"/>
        </w:rPr>
        <w:t>checking of observance of ongoing contracts, the norms and standards, the approved estimates and other documents governing the Company's activity in the process of using material, labor and financial resources in the financial and operational activity;</w:t>
      </w:r>
    </w:p>
    <w:p w:rsidR="008B2CED" w:rsidRPr="008B2CED" w:rsidRDefault="008B2CED" w:rsidP="008B2CED">
      <w:pPr>
        <w:widowControl w:val="0"/>
        <w:numPr>
          <w:ilvl w:val="0"/>
          <w:numId w:val="1"/>
        </w:numPr>
        <w:tabs>
          <w:tab w:val="left" w:pos="851"/>
        </w:tabs>
        <w:spacing w:after="0" w:line="247" w:lineRule="auto"/>
        <w:ind w:firstLine="567"/>
        <w:rPr>
          <w:rFonts w:ascii="Tahoma" w:eastAsia="Times New Roman" w:hAnsi="Tahoma" w:cs="Tahoma"/>
          <w:snapToGrid w:val="0"/>
          <w:szCs w:val="24"/>
          <w:lang w:val="en-US" w:eastAsia="ru-RU"/>
        </w:rPr>
      </w:pPr>
      <w:r w:rsidRPr="008B2CED">
        <w:rPr>
          <w:rFonts w:ascii="Tahoma" w:eastAsia="Times New Roman" w:hAnsi="Tahoma" w:cs="Tahoma"/>
          <w:szCs w:val="24"/>
          <w:lang w:val="en-US" w:eastAsia="ru-RU" w:bidi="en-US"/>
        </w:rPr>
        <w:t>control over safekeeping and using of capital asset;</w:t>
      </w:r>
    </w:p>
    <w:p w:rsidR="008B2CED" w:rsidRPr="008B2CED" w:rsidRDefault="008B2CED" w:rsidP="008B2CED">
      <w:pPr>
        <w:widowControl w:val="0"/>
        <w:numPr>
          <w:ilvl w:val="0"/>
          <w:numId w:val="1"/>
        </w:numPr>
        <w:tabs>
          <w:tab w:val="left" w:pos="851"/>
        </w:tabs>
        <w:spacing w:after="0" w:line="247" w:lineRule="auto"/>
        <w:ind w:firstLine="567"/>
        <w:jc w:val="both"/>
        <w:rPr>
          <w:rFonts w:ascii="Tahoma" w:eastAsia="Times New Roman" w:hAnsi="Tahoma" w:cs="Tahoma"/>
          <w:snapToGrid w:val="0"/>
          <w:szCs w:val="24"/>
          <w:lang w:val="en-US" w:eastAsia="ru-RU"/>
        </w:rPr>
      </w:pPr>
      <w:r w:rsidRPr="008B2CED">
        <w:rPr>
          <w:rFonts w:ascii="Tahoma" w:eastAsia="Times New Roman" w:hAnsi="Tahoma" w:cs="Tahoma"/>
          <w:szCs w:val="24"/>
          <w:lang w:val="en-US" w:eastAsia="ru-RU" w:bidi="en-US"/>
        </w:rPr>
        <w:t>checking the Company's cashier's department and property, the effectiveness of using the Company's assets and other resources, establishing the reasons for non-productive losses and expenses, finding the reserves for the Company's financial position improvement;</w:t>
      </w:r>
    </w:p>
    <w:p w:rsidR="008B2CED" w:rsidRPr="008B2CED" w:rsidRDefault="008B2CED" w:rsidP="008B2CED">
      <w:pPr>
        <w:widowControl w:val="0"/>
        <w:numPr>
          <w:ilvl w:val="0"/>
          <w:numId w:val="1"/>
        </w:numPr>
        <w:tabs>
          <w:tab w:val="left" w:pos="851"/>
        </w:tabs>
        <w:spacing w:after="0" w:line="247" w:lineRule="auto"/>
        <w:ind w:firstLine="567"/>
        <w:jc w:val="both"/>
        <w:rPr>
          <w:rFonts w:ascii="Tahoma" w:eastAsia="Times New Roman" w:hAnsi="Tahoma" w:cs="Tahoma"/>
          <w:snapToGrid w:val="0"/>
          <w:szCs w:val="24"/>
          <w:lang w:val="en-US" w:eastAsia="ru-RU"/>
        </w:rPr>
      </w:pPr>
      <w:r w:rsidRPr="008B2CED">
        <w:rPr>
          <w:rFonts w:ascii="Tahoma" w:eastAsia="Times New Roman" w:hAnsi="Tahoma" w:cs="Tahoma"/>
          <w:szCs w:val="24"/>
          <w:lang w:val="en-US" w:eastAsia="ru-RU" w:bidi="en-US"/>
        </w:rPr>
        <w:t>checking of fulfilment of the orders for elimination of the violations and drawbacks previously found by the Company's Auditing Commission;</w:t>
      </w:r>
    </w:p>
    <w:p w:rsidR="008B2CED" w:rsidRPr="008B2CED" w:rsidRDefault="008B2CED" w:rsidP="008B2CED">
      <w:pPr>
        <w:widowControl w:val="0"/>
        <w:numPr>
          <w:ilvl w:val="0"/>
          <w:numId w:val="1"/>
        </w:numPr>
        <w:tabs>
          <w:tab w:val="left" w:pos="851"/>
        </w:tabs>
        <w:spacing w:after="0" w:line="247" w:lineRule="auto"/>
        <w:ind w:firstLine="567"/>
        <w:rPr>
          <w:rFonts w:ascii="Tahoma" w:eastAsia="Times New Roman" w:hAnsi="Tahoma" w:cs="Tahoma"/>
          <w:snapToGrid w:val="0"/>
          <w:szCs w:val="24"/>
          <w:lang w:val="en-US" w:eastAsia="ru-RU"/>
        </w:rPr>
      </w:pPr>
      <w:r w:rsidRPr="008B2CED">
        <w:rPr>
          <w:rFonts w:ascii="Tahoma" w:eastAsia="Times New Roman" w:hAnsi="Tahoma" w:cs="Tahoma"/>
          <w:szCs w:val="24"/>
          <w:lang w:val="en-US" w:eastAsia="ru-RU" w:bidi="en-US"/>
        </w:rPr>
        <w:t>developing recommendations for the Company's management bodies;</w:t>
      </w:r>
    </w:p>
    <w:p w:rsidR="008B2CED" w:rsidRPr="008B2CED" w:rsidRDefault="008B2CED" w:rsidP="008B2CED">
      <w:pPr>
        <w:widowControl w:val="0"/>
        <w:numPr>
          <w:ilvl w:val="0"/>
          <w:numId w:val="1"/>
        </w:numPr>
        <w:tabs>
          <w:tab w:val="left" w:pos="851"/>
        </w:tabs>
        <w:spacing w:after="0" w:line="247" w:lineRule="auto"/>
        <w:ind w:firstLine="567"/>
        <w:jc w:val="both"/>
        <w:rPr>
          <w:rFonts w:ascii="Tahoma" w:eastAsia="Times New Roman" w:hAnsi="Tahoma" w:cs="Tahoma"/>
          <w:snapToGrid w:val="0"/>
          <w:szCs w:val="24"/>
          <w:lang w:val="en-US" w:eastAsia="ru-RU"/>
        </w:rPr>
      </w:pPr>
      <w:r w:rsidRPr="008B2CED">
        <w:rPr>
          <w:rFonts w:ascii="Tahoma" w:eastAsia="Times New Roman" w:hAnsi="Tahoma" w:cs="Tahoma"/>
          <w:snapToGrid w:val="0"/>
          <w:szCs w:val="24"/>
          <w:lang w:val="en-US" w:eastAsia="ru-RU" w:bidi="en-US"/>
        </w:rPr>
        <w:t>carrying out of other actions (measures) related to examination of the Company’s financial and economic activities.</w:t>
      </w:r>
    </w:p>
    <w:p w:rsidR="00232455" w:rsidRDefault="00232455">
      <w:pPr>
        <w:rPr>
          <w:lang w:val="en-US"/>
        </w:rPr>
      </w:pPr>
    </w:p>
    <w:sectPr w:rsidR="00232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04361"/>
    <w:multiLevelType w:val="hybridMultilevel"/>
    <w:tmpl w:val="48BA85F4"/>
    <w:lvl w:ilvl="0" w:tplc="268642F4">
      <w:start w:val="1"/>
      <w:numFmt w:val="bullet"/>
      <w:lvlText w:val="-"/>
      <w:lvlJc w:val="left"/>
      <w:pPr>
        <w:tabs>
          <w:tab w:val="num" w:pos="1080"/>
        </w:tabs>
        <w:ind w:left="0" w:firstLine="720"/>
      </w:pPr>
      <w:rPr>
        <w:rFont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A741921"/>
    <w:multiLevelType w:val="multilevel"/>
    <w:tmpl w:val="57A4958C"/>
    <w:lvl w:ilvl="0">
      <w:start w:val="24"/>
      <w:numFmt w:val="decimal"/>
      <w:lvlText w:val="%1"/>
      <w:lvlJc w:val="left"/>
      <w:pPr>
        <w:ind w:left="435" w:hanging="435"/>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58A86ADF"/>
    <w:multiLevelType w:val="multilevel"/>
    <w:tmpl w:val="7BA60AC0"/>
    <w:lvl w:ilvl="0">
      <w:start w:val="15"/>
      <w:numFmt w:val="decimal"/>
      <w:lvlText w:val="%1."/>
      <w:lvlJc w:val="left"/>
      <w:pPr>
        <w:tabs>
          <w:tab w:val="num" w:pos="476"/>
        </w:tabs>
        <w:ind w:left="476" w:hanging="476"/>
      </w:pPr>
      <w:rPr>
        <w:rFonts w:hint="default"/>
      </w:rPr>
    </w:lvl>
    <w:lvl w:ilvl="1">
      <w:start w:val="1"/>
      <w:numFmt w:val="decimal"/>
      <w:lvlText w:val="24.%2."/>
      <w:lvlJc w:val="left"/>
      <w:pPr>
        <w:tabs>
          <w:tab w:val="num" w:pos="1440"/>
        </w:tabs>
        <w:ind w:left="0" w:firstLine="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F5"/>
    <w:rsid w:val="00011D1E"/>
    <w:rsid w:val="00232455"/>
    <w:rsid w:val="002F7DF5"/>
    <w:rsid w:val="005E69CA"/>
    <w:rsid w:val="007A02BD"/>
    <w:rsid w:val="008B2CED"/>
    <w:rsid w:val="00A05C72"/>
    <w:rsid w:val="00A070EC"/>
    <w:rsid w:val="00A5658D"/>
    <w:rsid w:val="00E75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F03D0-11D6-42A9-A988-0D6C2747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F7DF5"/>
    <w:pPr>
      <w:keepNext/>
      <w:widowControl w:val="0"/>
      <w:spacing w:after="0" w:line="240" w:lineRule="auto"/>
      <w:jc w:val="center"/>
      <w:outlineLvl w:val="0"/>
    </w:pPr>
    <w:rPr>
      <w:rFonts w:ascii="Tahoma" w:eastAsia="Times New Roman" w:hAnsi="Tahoma" w:cs="Times New Roman"/>
      <w:b/>
      <w:snapToGrid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DF5"/>
    <w:rPr>
      <w:rFonts w:ascii="Tahoma" w:eastAsia="Times New Roman" w:hAnsi="Tahoma" w:cs="Times New Roman"/>
      <w:b/>
      <w:snapToGrid w:val="0"/>
      <w:szCs w:val="20"/>
      <w:lang w:eastAsia="ru-RU"/>
    </w:rPr>
  </w:style>
  <w:style w:type="paragraph" w:styleId="a3">
    <w:name w:val="List Paragraph"/>
    <w:basedOn w:val="a"/>
    <w:uiPriority w:val="34"/>
    <w:qFormat/>
    <w:rsid w:val="008B2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28861">
      <w:bodyDiv w:val="1"/>
      <w:marLeft w:val="0"/>
      <w:marRight w:val="0"/>
      <w:marTop w:val="0"/>
      <w:marBottom w:val="0"/>
      <w:divBdr>
        <w:top w:val="none" w:sz="0" w:space="0" w:color="auto"/>
        <w:left w:val="none" w:sz="0" w:space="0" w:color="auto"/>
        <w:bottom w:val="none" w:sz="0" w:space="0" w:color="auto"/>
        <w:right w:val="none" w:sz="0" w:space="0" w:color="auto"/>
      </w:divBdr>
      <w:divsChild>
        <w:div w:id="1800416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379</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Владимирова Анна Юрьевна</dc:creator>
  <cp:keywords/>
  <dc:description/>
  <cp:lastModifiedBy>Владимирова Анна Юрьевна</cp:lastModifiedBy>
  <cp:revision>7</cp:revision>
  <dcterms:created xsi:type="dcterms:W3CDTF">2022-10-06T07:49:00Z</dcterms:created>
  <dcterms:modified xsi:type="dcterms:W3CDTF">2022-10-13T12:13:00Z</dcterms:modified>
</cp:coreProperties>
</file>